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5C5C" w14:textId="777777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505D199" w14:textId="77777777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2B46B9D1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53535B98" w14:textId="67591FB8" w:rsidR="00060CC5" w:rsidRDefault="006A5408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347B37">
        <w:rPr>
          <w:rFonts w:ascii="Sylfaen" w:hAnsi="Sylfaen"/>
          <w:b/>
          <w:sz w:val="24"/>
          <w:szCs w:val="24"/>
          <w:lang w:val="ka-GE"/>
        </w:rPr>
        <w:t>„</w:t>
      </w:r>
      <w:r w:rsidR="000B788C" w:rsidRPr="00347B37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</w:t>
      </w:r>
      <w:r w:rsidRPr="00347B37">
        <w:rPr>
          <w:rFonts w:ascii="Sylfaen" w:hAnsi="Sylfaen"/>
          <w:b/>
          <w:sz w:val="24"/>
          <w:szCs w:val="24"/>
          <w:lang w:val="ka-GE"/>
        </w:rPr>
        <w:t>“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საქართველოს მთავრობის 2020 წლის</w:t>
      </w:r>
      <w:r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347B37">
        <w:rPr>
          <w:rFonts w:ascii="Sylfaen" w:hAnsi="Sylfaen" w:cs="Sylfaen"/>
          <w:bCs/>
          <w:sz w:val="22"/>
          <w:lang w:val="ka-GE"/>
        </w:rPr>
        <w:t>23 მაისის N322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დადგენილები</w:t>
      </w:r>
      <w:r w:rsidR="00B3547E" w:rsidRPr="00347B37">
        <w:rPr>
          <w:rFonts w:ascii="Sylfaen" w:hAnsi="Sylfaen" w:cs="Sylfaen"/>
          <w:bCs/>
          <w:sz w:val="22"/>
          <w:lang w:val="ka-GE"/>
        </w:rPr>
        <w:t>თ დამტკიცებული  „</w:t>
      </w:r>
      <w:r w:rsidR="00B3547E" w:rsidRPr="00347B37">
        <w:rPr>
          <w:rFonts w:ascii="Sylfaen" w:hAnsi="Sylfaen"/>
          <w:b/>
          <w:sz w:val="24"/>
          <w:szCs w:val="24"/>
          <w:lang w:val="ka-GE"/>
        </w:rPr>
        <w:t xml:space="preserve">იზოლაციისა და კარანტინის წესების“ 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347B37">
        <w:rPr>
          <w:rFonts w:ascii="Sylfaen" w:hAnsi="Sylfaen" w:cs="Sylfaen"/>
          <w:bCs/>
          <w:sz w:val="22"/>
          <w:lang w:val="ka-GE"/>
        </w:rPr>
        <w:t>მე-18 მუხლის მე-2</w:t>
      </w:r>
      <w:r w:rsidR="00B3547E" w:rsidRPr="00347B37">
        <w:rPr>
          <w:rFonts w:ascii="Sylfaen" w:hAnsi="Sylfaen" w:cs="Sylfaen"/>
          <w:bCs/>
          <w:sz w:val="22"/>
          <w:lang w:val="ka-GE"/>
        </w:rPr>
        <w:t xml:space="preserve">  </w:t>
      </w:r>
      <w:r w:rsidR="00231B7F" w:rsidRPr="00347B37">
        <w:rPr>
          <w:rFonts w:ascii="Sylfaen" w:hAnsi="Sylfaen" w:cs="Sylfaen"/>
          <w:bCs/>
          <w:sz w:val="22"/>
          <w:lang w:val="ka-GE"/>
        </w:rPr>
        <w:t>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060CC5" w:rsidRPr="00347B37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 w:rsidRPr="00347B37">
        <w:rPr>
          <w:rFonts w:ascii="Sylfaen" w:hAnsi="Sylfaen" w:cs="Sylfaen"/>
          <w:bCs/>
          <w:sz w:val="22"/>
          <w:lang w:val="ka-GE"/>
        </w:rPr>
        <w:t>,</w:t>
      </w:r>
    </w:p>
    <w:p w14:paraId="3FEDB9CC" w14:textId="77777777"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1DFDB05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447B1E41" w14:textId="7777777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24471EA" w14:textId="77777777" w:rsidR="008F7F15" w:rsidRDefault="001A2CF6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56D2F0BA" w14:textId="77777777" w:rsidR="008F7F15" w:rsidRDefault="008F7F15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91E2F24" w14:textId="1079F034" w:rsidR="00E838F5" w:rsidRDefault="00E838F5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 w:rsidR="00C15D6B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1F6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F67FA">
        <w:rPr>
          <w:rFonts w:ascii="Sylfaen" w:hAnsi="Sylfaen" w:cs="Sylfaen"/>
          <w:sz w:val="22"/>
          <w:lang w:val="ka-GE"/>
        </w:rPr>
        <w:t xml:space="preserve">საქართველოს მთავრობის </w:t>
      </w:r>
      <w:r w:rsidR="00347B37" w:rsidRPr="00347B37">
        <w:rPr>
          <w:rFonts w:ascii="Sylfaen" w:hAnsi="Sylfaen" w:cs="Sylfaen"/>
          <w:bCs/>
          <w:sz w:val="22"/>
          <w:lang w:val="ka-GE"/>
        </w:rPr>
        <w:t>2020 წლის 23 მაისის N322</w:t>
      </w:r>
      <w:r w:rsidR="001F67FA">
        <w:rPr>
          <w:rFonts w:ascii="Sylfaen" w:hAnsi="Sylfaen" w:cs="Sylfaen"/>
          <w:sz w:val="22"/>
          <w:lang w:val="ka-GE"/>
        </w:rPr>
        <w:t xml:space="preserve"> დადგენილების დანართი N1-ით განსაზღვრულ</w:t>
      </w:r>
      <w:r w:rsidR="00934B4A">
        <w:rPr>
          <w:rFonts w:ascii="Sylfaen" w:hAnsi="Sylfaen" w:cs="Sylfaen"/>
          <w:sz w:val="22"/>
          <w:lang w:val="ka-GE"/>
        </w:rPr>
        <w:t>ი</w:t>
      </w:r>
      <w:r w:rsidR="001F67FA">
        <w:rPr>
          <w:rFonts w:ascii="Sylfaen" w:hAnsi="Sylfaen" w:cs="Sylfaen"/>
          <w:sz w:val="22"/>
          <w:lang w:val="ka-GE"/>
        </w:rPr>
        <w:t xml:space="preserve">  სამედიცინო დაწესებულებ</w:t>
      </w:r>
      <w:r w:rsidR="00655817">
        <w:rPr>
          <w:rFonts w:ascii="Sylfaen" w:hAnsi="Sylfaen" w:cs="Sylfaen"/>
          <w:sz w:val="22"/>
          <w:lang w:val="ka-GE"/>
        </w:rPr>
        <w:t>ა</w:t>
      </w:r>
      <w:r w:rsidR="001F67FA">
        <w:rPr>
          <w:rFonts w:ascii="Sylfaen" w:hAnsi="Sylfaen" w:cs="Sylfaen"/>
          <w:sz w:val="22"/>
          <w:lang w:val="ka-GE"/>
        </w:rPr>
        <w:t xml:space="preserve">, </w:t>
      </w:r>
      <w:r w:rsidR="00934B4A">
        <w:rPr>
          <w:rFonts w:ascii="Sylfaen" w:hAnsi="Sylfaen" w:cs="Sylfaen"/>
          <w:sz w:val="22"/>
          <w:lang w:val="ka-GE"/>
        </w:rPr>
        <w:t>რომელსაც მ.წ. 2</w:t>
      </w:r>
      <w:r w:rsidR="003348B0">
        <w:rPr>
          <w:rFonts w:ascii="Sylfaen" w:hAnsi="Sylfaen" w:cs="Sylfaen"/>
          <w:sz w:val="22"/>
          <w:lang w:val="ka-GE"/>
        </w:rPr>
        <w:t>9</w:t>
      </w:r>
      <w:r w:rsidR="00934B4A">
        <w:rPr>
          <w:rFonts w:ascii="Sylfaen" w:hAnsi="Sylfaen" w:cs="Sylfaen"/>
          <w:sz w:val="22"/>
          <w:lang w:val="ka-GE"/>
        </w:rPr>
        <w:t xml:space="preserve"> </w:t>
      </w:r>
      <w:r w:rsidR="00BF04E1">
        <w:rPr>
          <w:rFonts w:ascii="Sylfaen" w:hAnsi="Sylfaen" w:cs="Sylfaen"/>
          <w:sz w:val="22"/>
          <w:lang w:val="ka-GE"/>
        </w:rPr>
        <w:t>მაისის</w:t>
      </w:r>
      <w:r w:rsidR="00934B4A">
        <w:rPr>
          <w:rFonts w:ascii="Sylfaen" w:hAnsi="Sylfaen" w:cs="Sylfaen"/>
          <w:sz w:val="22"/>
          <w:lang w:val="ka-GE"/>
        </w:rPr>
        <w:t xml:space="preserve"> მდგომარეობით არ უფიქსირდება აქტიური </w:t>
      </w:r>
      <w:r w:rsidR="00BF04E1">
        <w:rPr>
          <w:rFonts w:ascii="Sylfaen" w:hAnsi="Sylfaen" w:cs="Sylfaen"/>
          <w:sz w:val="22"/>
          <w:lang w:val="ka-GE"/>
        </w:rPr>
        <w:t>კოვიდ დადასტურებული სტაციონარული</w:t>
      </w:r>
      <w:r w:rsidR="00934B4A">
        <w:rPr>
          <w:rFonts w:ascii="Sylfaen" w:hAnsi="Sylfaen" w:cs="Sylfaen"/>
          <w:sz w:val="22"/>
          <w:lang w:val="ka-GE"/>
        </w:rPr>
        <w:t xml:space="preserve"> შემთხვევა, </w:t>
      </w:r>
      <w:r w:rsidR="00934B4A">
        <w:rPr>
          <w:rFonts w:ascii="Sylfaen" w:eastAsia="Times New Roman" w:hAnsi="Sylfaen" w:cs="Times New Roman"/>
          <w:sz w:val="24"/>
          <w:szCs w:val="24"/>
          <w:lang w:val="ka-GE"/>
        </w:rPr>
        <w:t xml:space="preserve">უფლებამოსილია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მ.წ. 1 ივნისიდან</w:t>
      </w:r>
      <w:r w:rsidR="00583972">
        <w:rPr>
          <w:rFonts w:ascii="Sylfaen" w:eastAsia="Times New Roman" w:hAnsi="Sylfaen" w:cs="Times New Roman"/>
          <w:sz w:val="24"/>
          <w:szCs w:val="24"/>
          <w:lang w:val="ka-GE"/>
        </w:rPr>
        <w:t xml:space="preserve">, ხოლო ის დაწესებულება, რომელსაც 29 მაისის მდგომარეობით უფიქსირდება </w:t>
      </w:r>
      <w:r w:rsidR="00583972">
        <w:rPr>
          <w:rFonts w:ascii="Sylfaen" w:hAnsi="Sylfaen" w:cs="Sylfaen"/>
          <w:sz w:val="22"/>
          <w:lang w:val="ka-GE"/>
        </w:rPr>
        <w:t xml:space="preserve">აქტიური კოვიდ დადასტურებული სტაციონარული შემთხვევა, </w:t>
      </w:r>
      <w:commentRangeStart w:id="1"/>
      <w:r w:rsidR="00583972">
        <w:rPr>
          <w:rFonts w:ascii="Sylfaen" w:hAnsi="Sylfaen" w:cs="Sylfaen"/>
          <w:sz w:val="22"/>
          <w:lang w:val="ka-GE"/>
        </w:rPr>
        <w:t>მ.წ.</w:t>
      </w:r>
      <w:r w:rsidR="00583972">
        <w:rPr>
          <w:rFonts w:ascii="Sylfaen" w:hAnsi="Sylfaen" w:cs="Sylfaen"/>
          <w:sz w:val="22"/>
          <w:lang w:val="ka-GE"/>
        </w:rPr>
        <w:t xml:space="preserve"> 15 ივნისიდან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commentRangeEnd w:id="1"/>
      <w:r w:rsidR="00583972">
        <w:rPr>
          <w:rStyle w:val="CommentReference"/>
          <w:rFonts w:asciiTheme="minorHAnsi" w:hAnsiTheme="minorHAnsi"/>
          <w:lang w:val="en-US"/>
        </w:rPr>
        <w:commentReference w:id="1"/>
      </w:r>
      <w:r w:rsidR="00934B4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 ამასთან, </w:t>
      </w:r>
      <w:r w:rsidR="00583972">
        <w:rPr>
          <w:rFonts w:ascii="Sylfaen" w:eastAsia="Times New Roman" w:hAnsi="Sylfaen" w:cs="Times New Roman"/>
          <w:sz w:val="24"/>
          <w:szCs w:val="24"/>
          <w:lang w:val="ka-GE"/>
        </w:rPr>
        <w:t xml:space="preserve">ნაცვლად სრული მობილიზებისა, </w:t>
      </w:r>
      <w:r w:rsidR="00934B4A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</w:t>
      </w:r>
      <w:r w:rsidR="00934B4A">
        <w:rPr>
          <w:rFonts w:ascii="Sylfaen" w:hAnsi="Sylfaen" w:cs="Sylfaen"/>
          <w:sz w:val="22"/>
          <w:lang w:val="ka-GE"/>
        </w:rPr>
        <w:t>ვალდებულია</w:t>
      </w:r>
      <w:r w:rsidR="00583972">
        <w:rPr>
          <w:rFonts w:ascii="Sylfaen" w:hAnsi="Sylfaen" w:cs="Sylfaen"/>
          <w:sz w:val="22"/>
          <w:lang w:val="ka-GE"/>
        </w:rPr>
        <w:t>,</w:t>
      </w:r>
      <w:r w:rsidR="00934B4A">
        <w:rPr>
          <w:rFonts w:ascii="Sylfaen" w:hAnsi="Sylfaen" w:cs="Sylfaen"/>
          <w:sz w:val="22"/>
          <w:lang w:val="ka-GE"/>
        </w:rPr>
        <w:t xml:space="preserve"> </w:t>
      </w:r>
      <w:r w:rsidR="00934B4A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="00934B4A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34B4A">
        <w:rPr>
          <w:rFonts w:ascii="Sylfaen" w:hAnsi="Sylfaen" w:cs="Sylfaen"/>
          <w:sz w:val="22"/>
          <w:lang w:val="ka-GE"/>
        </w:rPr>
        <w:t xml:space="preserve">იზოლირებული  ზონის </w:t>
      </w:r>
      <w:r>
        <w:rPr>
          <w:rFonts w:ascii="Sylfaen" w:hAnsi="Sylfaen" w:cs="Sylfaen"/>
          <w:sz w:val="22"/>
          <w:lang w:val="ka-GE"/>
        </w:rPr>
        <w:t>(მინ</w:t>
      </w:r>
      <w:r w:rsidR="00583972">
        <w:rPr>
          <w:rFonts w:ascii="Sylfaen" w:hAnsi="Sylfaen" w:cs="Sylfaen"/>
          <w:sz w:val="22"/>
          <w:lang w:val="ka-GE"/>
        </w:rPr>
        <w:t>იმუმ</w:t>
      </w:r>
      <w:r>
        <w:rPr>
          <w:rFonts w:ascii="Sylfaen" w:hAnsi="Sylfaen" w:cs="Sylfaen"/>
          <w:sz w:val="22"/>
          <w:lang w:val="ka-GE"/>
        </w:rPr>
        <w:t xml:space="preserve"> 10 საწოლი) </w:t>
      </w:r>
      <w:r w:rsidR="00934B4A">
        <w:rPr>
          <w:rFonts w:ascii="Sylfaen" w:hAnsi="Sylfaen" w:cs="Sylfaen"/>
          <w:sz w:val="22"/>
          <w:lang w:val="ka-GE"/>
        </w:rPr>
        <w:t>გამოყოფა,</w:t>
      </w:r>
      <w:r>
        <w:rPr>
          <w:rFonts w:ascii="Sylfaen" w:hAnsi="Sylfaen" w:cs="Sylfaen"/>
          <w:sz w:val="22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ED268BA" w14:textId="1DE2C3E4" w:rsidR="00E838F5" w:rsidRPr="00E838F5" w:rsidRDefault="00E838F5" w:rsidP="00E838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ამავე მუხლის პირველი პუნქტით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განსაზღვრულ </w:t>
      </w:r>
      <w:r w:rsidR="00106BAD">
        <w:rPr>
          <w:rFonts w:ascii="Sylfaen" w:eastAsia="Times New Roman" w:hAnsi="Sylfaen" w:cs="Sylfaen"/>
          <w:sz w:val="24"/>
          <w:szCs w:val="24"/>
          <w:lang w:val="ka-GE"/>
        </w:rPr>
        <w:t xml:space="preserve">ზონებში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განსახორციელებელი სამედიცინო მომსახურება მოიცავს: </w:t>
      </w:r>
      <w:r w:rsidRPr="00E838F5">
        <w:rPr>
          <w:rFonts w:ascii="Sylfaen" w:eastAsia="Times New Roman" w:hAnsi="Sylfaen" w:cs="Sylfaen"/>
          <w:noProof/>
          <w:sz w:val="24"/>
          <w:szCs w:val="24"/>
          <w:lang w:val="ka-GE"/>
        </w:rPr>
        <w:t>მაღალი რისკის პაციენტების პირველად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 w:rsidRPr="00E838F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ტრიაჟ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ს, დიაგნოსტირებას</w:t>
      </w:r>
      <w:r w:rsidRPr="00E838F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COVID-19-ის დადასტურებული შემთხვევების, მათ შორის,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სხვა</w:t>
      </w:r>
      <w:r w:rsidRPr="00E838F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სამედიცინო დაწესებულებებიდან რეფერირებული პაციენტების, მართვა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 w:rsidRPr="00E838F5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76F74C73" w14:textId="77777777" w:rsidR="006A5408" w:rsidRDefault="006A5408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5E953699" w14:textId="579C2502" w:rsidR="00E838F5" w:rsidRDefault="00E838F5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>
        <w:rPr>
          <w:rFonts w:ascii="Sylfaen" w:hAnsi="Sylfaen" w:cs="Sylfaen"/>
          <w:sz w:val="22"/>
          <w:lang w:val="ka-GE"/>
        </w:rPr>
        <w:t xml:space="preserve">. საქართველოს მთავრობის </w:t>
      </w:r>
      <w:r w:rsidR="00347B37" w:rsidRPr="00347B37">
        <w:rPr>
          <w:rFonts w:ascii="Sylfaen" w:hAnsi="Sylfaen" w:cs="Sylfaen"/>
          <w:bCs/>
          <w:sz w:val="22"/>
          <w:lang w:val="ka-GE"/>
        </w:rPr>
        <w:t>2020 წლის 23 მაისის N322</w:t>
      </w:r>
      <w:r>
        <w:rPr>
          <w:rFonts w:ascii="Sylfaen" w:hAnsi="Sylfaen" w:cs="Sylfaen"/>
          <w:sz w:val="22"/>
          <w:lang w:val="ka-GE"/>
        </w:rPr>
        <w:t xml:space="preserve"> დადგენილების N2 დანართით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განსაზღვრული დაწესებულება 2020 წლის 1 ივნისიდან უფლებამოსილია 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 ამასთან, </w:t>
      </w:r>
      <w:r w:rsidR="00583972">
        <w:rPr>
          <w:rFonts w:ascii="Sylfaen" w:eastAsia="Times New Roman" w:hAnsi="Sylfaen" w:cs="Times New Roman"/>
          <w:sz w:val="24"/>
          <w:szCs w:val="24"/>
          <w:lang w:val="ka-GE"/>
        </w:rPr>
        <w:t xml:space="preserve">ნაცვლად სრული მობილიზებისა, </w:t>
      </w:r>
      <w:r w:rsidR="00583972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</w:t>
      </w:r>
      <w:r>
        <w:rPr>
          <w:rFonts w:ascii="Sylfaen" w:hAnsi="Sylfaen" w:cs="Sylfaen"/>
          <w:sz w:val="22"/>
          <w:lang w:val="ka-GE"/>
        </w:rPr>
        <w:t xml:space="preserve">ვალდებულია </w:t>
      </w:r>
      <w:r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იზოლირებული „ე.წ.ცხელების“ ზონის გამოყოფა, სადაც განხორციელდება ცხელების მქონე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1D5C662C" w14:textId="77777777" w:rsidR="00E838F5" w:rsidRDefault="00E838F5" w:rsidP="00E838F5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bookmarkStart w:id="2" w:name="_GoBack"/>
      <w:bookmarkEnd w:id="2"/>
    </w:p>
    <w:p w14:paraId="7CC8709C" w14:textId="68345FD7" w:rsidR="00E838F5" w:rsidRDefault="00E838F5" w:rsidP="00E838F5">
      <w:pPr>
        <w:spacing w:after="0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4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ამავე მუხლის </w:t>
      </w:r>
      <w:r w:rsidR="00583972">
        <w:rPr>
          <w:rFonts w:ascii="Sylfaen" w:eastAsia="Times New Roman" w:hAnsi="Sylfaen" w:cs="Times New Roman"/>
          <w:sz w:val="24"/>
          <w:szCs w:val="24"/>
          <w:lang w:val="ka-GE"/>
        </w:rPr>
        <w:t>მესამე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პუნქტით განსაზღვრულ დაწესებულებებში განსახორციელებელი სამედიცინო მომსახურება მოიცავს: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ცხელების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პირველად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ტრიაჟს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დიაგნოსტირებას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>, COVID-19-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დადასტურების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</w:t>
      </w:r>
      <w:r>
        <w:rPr>
          <w:rFonts w:ascii="Sylfaen" w:hAnsi="Sylfaen" w:cs="Sylfaen"/>
          <w:sz w:val="22"/>
          <w:lang w:val="ka-GE"/>
        </w:rPr>
        <w:t xml:space="preserve">აქართველოს მთავრობის </w:t>
      </w:r>
      <w:r w:rsidR="00AE2C85" w:rsidRPr="00347B37">
        <w:rPr>
          <w:rFonts w:ascii="Sylfaen" w:hAnsi="Sylfaen" w:cs="Sylfaen"/>
          <w:bCs/>
          <w:sz w:val="22"/>
          <w:lang w:val="ka-GE"/>
        </w:rPr>
        <w:t>2020 წლის 23 მაისის N322</w:t>
      </w:r>
      <w:r>
        <w:rPr>
          <w:rFonts w:ascii="Sylfaen" w:hAnsi="Sylfaen" w:cs="Sylfaen"/>
          <w:sz w:val="22"/>
          <w:lang w:val="ka-GE"/>
        </w:rPr>
        <w:t xml:space="preserve"> დადგენილების 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№1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დანართით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განსაზღვრულ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უახლოეს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დაწესებულებებში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მძიმე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შემთხვევებისა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რომელთა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რეფერალისთვის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შერჩევა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–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მითითების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>; COVID-19-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გამორიცხვის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შემდგომ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გამოკვლევებ</w:t>
      </w:r>
      <w:r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მკურნალობა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კანონმდებლობით განსაზღვრული საქმიანობის ფარგლებში. </w:t>
      </w:r>
    </w:p>
    <w:p w14:paraId="083CD24A" w14:textId="56BAD183" w:rsidR="00172250" w:rsidRDefault="00E838F5" w:rsidP="00C15D6B">
      <w:pPr>
        <w:spacing w:after="0"/>
        <w:ind w:firstLine="708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</w:t>
      </w:r>
      <w:r w:rsidR="001F67FA" w:rsidRPr="00AF50B1">
        <w:rPr>
          <w:rFonts w:ascii="Sylfaen" w:hAnsi="Sylfaen" w:cs="Sylfaen"/>
          <w:sz w:val="22"/>
          <w:lang w:val="ka-GE"/>
        </w:rPr>
        <w:t>. დაევალოს</w:t>
      </w:r>
      <w:r w:rsidR="00155194">
        <w:rPr>
          <w:rFonts w:ascii="Sylfaen" w:hAnsi="Sylfaen" w:cs="Sylfaen"/>
          <w:sz w:val="22"/>
          <w:lang w:val="ka-GE"/>
        </w:rPr>
        <w:t xml:space="preserve"> სსიპ სოციალური მომსახურების სააგენტოს </w:t>
      </w:r>
      <w:r w:rsidR="004D37EA">
        <w:rPr>
          <w:rFonts w:ascii="Sylfaen" w:hAnsi="Sylfaen" w:cs="Sylfaen"/>
          <w:sz w:val="22"/>
          <w:lang w:val="ka-GE"/>
        </w:rPr>
        <w:t xml:space="preserve">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 w:rsidR="004D37EA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</w:p>
    <w:p w14:paraId="205C13C3" w14:textId="77777777"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76EE022" w14:textId="77777777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1F67FA">
        <w:rPr>
          <w:rFonts w:ascii="Sylfaen" w:hAnsi="Sylfaen" w:cs="Sylfaen"/>
          <w:b/>
          <w:bCs/>
          <w:sz w:val="22"/>
          <w:lang w:val="ka-GE"/>
        </w:rPr>
        <w:t xml:space="preserve">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 xml:space="preserve">ამოქმედდეს </w:t>
      </w:r>
      <w:r w:rsidR="001F67FA">
        <w:rPr>
          <w:rFonts w:ascii="Sylfaen" w:hAnsi="Sylfaen" w:cs="Sylfaen"/>
          <w:sz w:val="22"/>
          <w:lang w:val="ka-GE"/>
        </w:rPr>
        <w:t>ხელმოწერისთანავე</w:t>
      </w:r>
    </w:p>
    <w:p w14:paraId="439925F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552FFC6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3C2B36DB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0E446EC" w14:textId="77777777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Tea Tavidashvili" w:date="2020-05-25T18:26:00Z" w:initials="TT">
    <w:p w14:paraId="5D398A7F" w14:textId="7802D127" w:rsidR="00583972" w:rsidRDefault="0058397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1 ივნისიდან ცალსახად ვფიქრობ რომ დაცლილმა კლინიკებმა, სადაც არაა შემთხვევა, უნდა აღ</w:t>
      </w:r>
      <w:r w:rsidR="00C3400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დგინონ </w:t>
      </w:r>
      <w:r w:rsidR="00C34007">
        <w:rPr>
          <w:rFonts w:ascii="Sylfaen" w:hAnsi="Sylfaen"/>
          <w:lang w:val="ka-GE"/>
        </w:rPr>
        <w:t xml:space="preserve">ჩვეული </w:t>
      </w:r>
      <w:r>
        <w:rPr>
          <w:rFonts w:ascii="Sylfaen" w:hAnsi="Sylfaen"/>
          <w:lang w:val="ka-GE"/>
        </w:rPr>
        <w:t>მუშაობა</w:t>
      </w:r>
      <w:r w:rsidR="00C34007">
        <w:rPr>
          <w:rFonts w:ascii="Sylfaen" w:hAnsi="Sylfaen"/>
          <w:lang w:val="ka-GE"/>
        </w:rPr>
        <w:t xml:space="preserve"> და გამოყონ 10 საწოლი შესაძლო შემთხვევებისთვის.</w:t>
      </w:r>
      <w:r>
        <w:rPr>
          <w:rFonts w:ascii="Sylfaen" w:hAnsi="Sylfaen"/>
          <w:lang w:val="ka-GE"/>
        </w:rPr>
        <w:t xml:space="preserve"> რაც შეხება კოვიდიან კლინიკებს, ვფიქრობ</w:t>
      </w:r>
      <w:r w:rsidR="00C3400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15 ივნისამდე </w:t>
      </w:r>
      <w:r w:rsidR="00C34007">
        <w:rPr>
          <w:rFonts w:ascii="Sylfaen" w:hAnsi="Sylfaen"/>
          <w:lang w:val="ka-GE"/>
        </w:rPr>
        <w:t>მივცეთ</w:t>
      </w:r>
      <w:r>
        <w:rPr>
          <w:rFonts w:ascii="Sylfaen" w:hAnsi="Sylfaen"/>
          <w:lang w:val="ka-GE"/>
        </w:rPr>
        <w:t xml:space="preserve"> ვადა, თუ </w:t>
      </w:r>
      <w:r w:rsidR="00C34007">
        <w:rPr>
          <w:rFonts w:ascii="Sylfaen" w:hAnsi="Sylfaen"/>
          <w:lang w:val="ka-GE"/>
        </w:rPr>
        <w:t>შევხედავთ</w:t>
      </w:r>
      <w:r>
        <w:rPr>
          <w:rFonts w:ascii="Sylfaen" w:hAnsi="Sylfaen"/>
          <w:lang w:val="ka-GE"/>
        </w:rPr>
        <w:t xml:space="preserve">, რომ შემთხევვები არ მცირდება და კლინიკები ვერ თავისუფლდებიან კორონებისგან, </w:t>
      </w:r>
      <w:r w:rsidR="00C34007">
        <w:rPr>
          <w:rFonts w:ascii="Sylfaen" w:hAnsi="Sylfaen"/>
          <w:lang w:val="ka-GE"/>
        </w:rPr>
        <w:t xml:space="preserve">და შესაბამისად არ აქვთ საშუალება რომ ცალკე ზონა გამოყონ, </w:t>
      </w:r>
      <w:r>
        <w:rPr>
          <w:rFonts w:ascii="Sylfaen" w:hAnsi="Sylfaen"/>
          <w:lang w:val="ka-GE"/>
        </w:rPr>
        <w:t>მერე ვიფიქროთ ვადის ცვლილებაზე.</w:t>
      </w:r>
    </w:p>
    <w:p w14:paraId="3100A527" w14:textId="114B69CB" w:rsidR="00583972" w:rsidRPr="00583972" w:rsidRDefault="00583972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BE7A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B5D5E"/>
    <w:rsid w:val="000B788C"/>
    <w:rsid w:val="000F017C"/>
    <w:rsid w:val="00106BAD"/>
    <w:rsid w:val="00134F2B"/>
    <w:rsid w:val="00155194"/>
    <w:rsid w:val="00172250"/>
    <w:rsid w:val="00175A02"/>
    <w:rsid w:val="001917CF"/>
    <w:rsid w:val="00194900"/>
    <w:rsid w:val="001A2CF6"/>
    <w:rsid w:val="001F67FA"/>
    <w:rsid w:val="00201746"/>
    <w:rsid w:val="00227229"/>
    <w:rsid w:val="00231B7F"/>
    <w:rsid w:val="00260117"/>
    <w:rsid w:val="002629A4"/>
    <w:rsid w:val="00294678"/>
    <w:rsid w:val="002A3502"/>
    <w:rsid w:val="002E6F8F"/>
    <w:rsid w:val="002F6A44"/>
    <w:rsid w:val="002F7089"/>
    <w:rsid w:val="00313128"/>
    <w:rsid w:val="003348B0"/>
    <w:rsid w:val="00334DC8"/>
    <w:rsid w:val="00341975"/>
    <w:rsid w:val="00347B37"/>
    <w:rsid w:val="003C4BDA"/>
    <w:rsid w:val="003D031C"/>
    <w:rsid w:val="00452722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676D3"/>
    <w:rsid w:val="00583972"/>
    <w:rsid w:val="00585D2C"/>
    <w:rsid w:val="005C0FBB"/>
    <w:rsid w:val="005F2C1B"/>
    <w:rsid w:val="00601548"/>
    <w:rsid w:val="00655817"/>
    <w:rsid w:val="00683EDF"/>
    <w:rsid w:val="006A5408"/>
    <w:rsid w:val="006B6061"/>
    <w:rsid w:val="006C0B77"/>
    <w:rsid w:val="00705924"/>
    <w:rsid w:val="00746186"/>
    <w:rsid w:val="007C0101"/>
    <w:rsid w:val="007C77F7"/>
    <w:rsid w:val="008047E0"/>
    <w:rsid w:val="008242FF"/>
    <w:rsid w:val="00854CD5"/>
    <w:rsid w:val="00870751"/>
    <w:rsid w:val="00897B1E"/>
    <w:rsid w:val="008C6983"/>
    <w:rsid w:val="008C6B7D"/>
    <w:rsid w:val="008D7E02"/>
    <w:rsid w:val="008F7F15"/>
    <w:rsid w:val="0090523D"/>
    <w:rsid w:val="00922C48"/>
    <w:rsid w:val="00934B4A"/>
    <w:rsid w:val="0094011C"/>
    <w:rsid w:val="00943931"/>
    <w:rsid w:val="0095005C"/>
    <w:rsid w:val="009B6350"/>
    <w:rsid w:val="00A024D3"/>
    <w:rsid w:val="00A03D78"/>
    <w:rsid w:val="00A2226C"/>
    <w:rsid w:val="00AE2C85"/>
    <w:rsid w:val="00AF50B1"/>
    <w:rsid w:val="00B3547E"/>
    <w:rsid w:val="00B7173B"/>
    <w:rsid w:val="00B915B7"/>
    <w:rsid w:val="00BA34BF"/>
    <w:rsid w:val="00BB537C"/>
    <w:rsid w:val="00BF04E1"/>
    <w:rsid w:val="00C15D6B"/>
    <w:rsid w:val="00C34007"/>
    <w:rsid w:val="00CB482F"/>
    <w:rsid w:val="00CE6366"/>
    <w:rsid w:val="00CF294C"/>
    <w:rsid w:val="00D85E50"/>
    <w:rsid w:val="00DB2F02"/>
    <w:rsid w:val="00DB6C9C"/>
    <w:rsid w:val="00E158D2"/>
    <w:rsid w:val="00E4254D"/>
    <w:rsid w:val="00E73DE1"/>
    <w:rsid w:val="00E838F5"/>
    <w:rsid w:val="00EA59DF"/>
    <w:rsid w:val="00EE4070"/>
    <w:rsid w:val="00F12C76"/>
    <w:rsid w:val="00F23DA1"/>
    <w:rsid w:val="00F66E98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3</cp:revision>
  <cp:lastPrinted>2020-05-25T12:55:00Z</cp:lastPrinted>
  <dcterms:created xsi:type="dcterms:W3CDTF">2020-05-25T10:57:00Z</dcterms:created>
  <dcterms:modified xsi:type="dcterms:W3CDTF">2020-05-25T14:27:00Z</dcterms:modified>
</cp:coreProperties>
</file>